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PreformattedText"/>
        <w:rPr>
          <w:sz w:val="32"/>
          <w:szCs w:val="32"/>
        </w:rPr>
      </w:pPr>
      <w:r>
        <w:rPr>
          <w:sz w:val="32"/>
          <w:szCs w:val="32"/>
        </w:rPr>
      </w:r>
    </w:p>
    <w:tbl>
      <w:tblPr>
        <w:tblW w:w="3904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3904"/>
      </w:tblGrid>
      <w:tr>
        <w:trPr/>
        <w:tc>
          <w:tcPr>
            <w:tcW w:w="3904" w:type="dxa"/>
            <w:tcBorders/>
            <w:shd w:fill="auto" w:val="clear"/>
          </w:tcPr>
          <w:p>
            <w:pPr>
              <w:pStyle w:val="TableContents"/>
              <w:spacing w:lineRule="auto" w:line="312"/>
              <w:ind w:left="0" w:right="0" w:hanging="0"/>
              <w:jc w:val="both"/>
              <w:rPr>
                <w:rFonts w:ascii="Arial" w:hAnsi="Arial"/>
                <w:b/>
                <w:sz w:val="32"/>
                <w:szCs w:val="32"/>
              </w:rPr>
            </w:pPr>
            <w:r>
              <w:rPr>
                <w:rFonts w:ascii="Arial" w:hAnsi="Arial"/>
                <w:b/>
                <w:sz w:val="32"/>
                <w:szCs w:val="32"/>
              </w:rPr>
              <w:t>Статья 425.</w:t>
            </w:r>
          </w:p>
          <w:p>
            <w:pPr>
              <w:pStyle w:val="TableContents"/>
              <w:spacing w:lineRule="auto" w:line="312"/>
              <w:ind w:left="0" w:right="0" w:hanging="0"/>
              <w:jc w:val="both"/>
              <w:rPr>
                <w:rFonts w:ascii="Arial" w:hAnsi="Arial"/>
                <w:b/>
                <w:sz w:val="32"/>
                <w:szCs w:val="32"/>
              </w:rPr>
            </w:pPr>
            <w:r>
              <w:rPr>
                <w:rFonts w:ascii="Arial" w:hAnsi="Arial"/>
                <w:b/>
                <w:sz w:val="32"/>
                <w:szCs w:val="32"/>
              </w:rPr>
              <w:t>Действие договора</w:t>
            </w:r>
          </w:p>
          <w:p/>
        </w:tc>
      </w:tr>
    </w:tbl>
    <w:p>
      <w:pPr>
        <w:sectPr>
          <w:type w:val="nextPage"/>
          <w:pgSz w:w="11906" w:h="16838"/>
          <w:pgMar w:left="1134" w:right="1134" w:header="0" w:top="1134" w:footer="0" w:bottom="1134" w:gutter="0"/>
          <w:pgNumType w:fmt="decimal"/>
          <w:formProt w:val="false"/>
          <w:textDirection w:val="lrTb"/>
        </w:sectPr>
      </w:pPr>
    </w:p>
    <w:p>
      <w:pPr>
        <w:pStyle w:val="TextBody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Позиции высших судов по ст. 425 ГК РФ &gt;&gt;&gt;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spacing w:lineRule="auto" w:line="312"/>
        <w:jc w:val="both"/>
        <w:rPr>
          <w:sz w:val="32"/>
          <w:szCs w:val="32"/>
        </w:rPr>
      </w:pPr>
      <w:r>
        <w:rPr>
          <w:sz w:val="32"/>
          <w:szCs w:val="32"/>
        </w:rPr>
        <w:t> 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spacing w:lineRule="auto" w:line="312"/>
        <w:ind w:left="0" w:right="0" w:firstLine="547"/>
        <w:jc w:val="both"/>
        <w:rPr>
          <w:rFonts w:ascii="Times New Roman" w:hAnsi="Times New Roman"/>
          <w:b w:val="false"/>
          <w:sz w:val="32"/>
          <w:szCs w:val="32"/>
        </w:rPr>
      </w:pPr>
      <w:r>
        <w:rPr>
          <w:rFonts w:ascii="Times New Roman" w:hAnsi="Times New Roman"/>
          <w:b w:val="false"/>
          <w:sz w:val="32"/>
          <w:szCs w:val="32"/>
        </w:rPr>
        <w:t>1. Договор вступает в силу и становится обязательным для сторон с момента его заключения.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spacing w:lineRule="auto" w:line="312"/>
        <w:ind w:left="0" w:right="0" w:firstLine="547"/>
        <w:jc w:val="both"/>
        <w:rPr>
          <w:rFonts w:ascii="Times New Roman" w:hAnsi="Times New Roman"/>
          <w:b w:val="false"/>
          <w:sz w:val="32"/>
          <w:szCs w:val="32"/>
        </w:rPr>
      </w:pPr>
      <w:r>
        <w:rPr>
          <w:rFonts w:ascii="Times New Roman" w:hAnsi="Times New Roman"/>
          <w:b w:val="false"/>
          <w:sz w:val="32"/>
          <w:szCs w:val="32"/>
        </w:rPr>
        <w:t>2. Стороны вправе установить, что условия заключенного ими договора применяются к их отношениям, возникшим до заключения договора, если иное не установлено законом или не вытекает из существа соответствующих отношений.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spacing w:lineRule="auto" w:line="264"/>
        <w:jc w:val="both"/>
        <w:rPr>
          <w:rFonts w:ascii="Times New Roman" w:hAnsi="Times New Roman"/>
          <w:b w:val="false"/>
          <w:color w:val="828282"/>
          <w:sz w:val="32"/>
          <w:szCs w:val="32"/>
        </w:rPr>
      </w:pPr>
      <w:r>
        <w:rPr>
          <w:rFonts w:ascii="Times New Roman" w:hAnsi="Times New Roman"/>
          <w:b w:val="false"/>
          <w:color w:val="828282"/>
          <w:sz w:val="32"/>
          <w:szCs w:val="32"/>
        </w:rPr>
        <w:t>(в ред. Федерального закона от 08.03.2015 N 42-ФЗ)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spacing w:lineRule="auto" w:line="312"/>
        <w:ind w:left="0" w:right="0" w:firstLine="547"/>
        <w:jc w:val="both"/>
        <w:rPr>
          <w:rFonts w:ascii="Times New Roman" w:hAnsi="Times New Roman"/>
          <w:b w:val="false"/>
          <w:sz w:val="32"/>
          <w:szCs w:val="32"/>
        </w:rPr>
      </w:pPr>
      <w:r>
        <w:rPr>
          <w:rFonts w:ascii="Times New Roman" w:hAnsi="Times New Roman"/>
          <w:b w:val="false"/>
          <w:sz w:val="32"/>
          <w:szCs w:val="32"/>
        </w:rPr>
        <w:t>3. Законом или договором может быть предусмотрено, что окончание срока действия договора влечет прекращение обязательств сторон по договору.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spacing w:lineRule="auto" w:line="312"/>
        <w:ind w:left="0" w:right="0" w:firstLine="547"/>
        <w:jc w:val="both"/>
        <w:rPr>
          <w:rFonts w:ascii="Times New Roman" w:hAnsi="Times New Roman"/>
          <w:b w:val="false"/>
          <w:sz w:val="32"/>
          <w:szCs w:val="32"/>
        </w:rPr>
      </w:pPr>
      <w:r>
        <w:rPr>
          <w:rFonts w:ascii="Times New Roman" w:hAnsi="Times New Roman"/>
          <w:b w:val="false"/>
          <w:sz w:val="32"/>
          <w:szCs w:val="32"/>
        </w:rPr>
        <w:t>Договор, в котором отсутствует такое условие, признается действующим до определенного в нем момента окончания исполнения сторонами обязательства.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spacing w:lineRule="auto" w:line="312"/>
        <w:ind w:left="0" w:right="0" w:firstLine="547"/>
        <w:jc w:val="both"/>
        <w:rPr>
          <w:rFonts w:ascii="Times New Roman" w:hAnsi="Times New Roman"/>
          <w:b w:val="false"/>
          <w:sz w:val="32"/>
          <w:szCs w:val="32"/>
        </w:rPr>
      </w:pPr>
      <w:r>
        <w:rPr>
          <w:rFonts w:ascii="Times New Roman" w:hAnsi="Times New Roman"/>
          <w:b w:val="false"/>
          <w:sz w:val="32"/>
          <w:szCs w:val="32"/>
        </w:rPr>
        <w:t>4. Окончание срока действия договора не освобождает стороны от ответственности за его нарушение.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TextBody"/>
        <w:spacing w:lineRule="auto" w:line="312"/>
        <w:jc w:val="both"/>
        <w:rPr>
          <w:sz w:val="32"/>
          <w:szCs w:val="32"/>
        </w:rPr>
      </w:pPr>
      <w:r>
        <w:rPr>
          <w:sz w:val="32"/>
          <w:szCs w:val="32"/>
        </w:rPr>
        <w:t> </w:t>
      </w:r>
    </w:p>
    <w:p>
      <w:pPr>
        <w:sectPr>
          <w:type w:val="continuous"/>
          <w:pgSz w:w="11906" w:h="16838"/>
          <w:pgMar w:left="1134" w:right="1134" w:header="0" w:top="1134" w:footer="0" w:bottom="1134" w:gutter="0"/>
          <w:formProt w:val="false"/>
          <w:textDirection w:val="lrTb"/>
        </w:sectPr>
      </w:pPr>
    </w:p>
    <w:p>
      <w:pPr>
        <w:pStyle w:val="PreformattedText"/>
        <w:rPr/>
      </w:pPr>
      <w:r>
        <w:rPr/>
      </w:r>
    </w:p>
    <w:sectPr>
      <w:type w:val="continuous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Mono">
    <w:altName w:val="Courier New"/>
    <w:charset w:val="01"/>
    <w:family w:val="modern"/>
    <w:pitch w:val="fixed"/>
  </w:font>
  <w:font w:name="Arial">
    <w:charset w:val="01"/>
    <w:family w:val="auto"/>
    <w:pitch w:val="default"/>
  </w:font>
  <w:font w:name="Times New Roman">
    <w:charset w:val="01"/>
    <w:family w:val="auto"/>
    <w:pitch w:val="default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WenQuanYi Micro Hei" w:cs="Lohit Devanagari"/>
        <w:sz w:val="24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</w:pPr>
    <w:rPr>
      <w:rFonts w:ascii="Liberation Serif" w:hAnsi="Liberation Serif" w:eastAsia="WenQuanYi Micro Hei" w:cs="Lohit Devanagari"/>
      <w:color w:val="auto"/>
      <w:sz w:val="24"/>
      <w:szCs w:val="24"/>
      <w:lang w:val="ru-RU" w:eastAsia="zh-CN" w:bidi="hi-IN"/>
    </w:rPr>
  </w:style>
  <w:style w:type="paragraph" w:styleId="Heading">
    <w:name w:val="Heading"/>
    <w:basedOn w:val="Normal"/>
    <w:next w:val="TextBody"/>
    <w:qFormat/>
    <w:pPr>
      <w:keepNext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Nimbus Mono L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LibreOffice/5.1.4.2$Linux_X86_64 LibreOffice_project/10m0$Build-2</Application>
  <Pages>1</Pages>
  <Words>112</Words>
  <Characters>704</Characters>
  <CharactersWithSpaces>809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2017-09-13T09:37:25Z</dcterms:modified>
  <cp:revision>1</cp:revision>
  <dc:subject/>
  <dc:title/>
</cp:coreProperties>
</file>