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1"/>
        <w:spacing w:before="240" w:after="120"/>
        <w:rPr>
          <w:b/>
          <w:color w:val="000000"/>
        </w:rPr>
      </w:pPr>
      <w:r>
        <w:rPr>
          <w:b/>
          <w:color w:val="000000"/>
        </w:rPr>
        <w:t>ТК РФ, Статья 59. Срочный трудовой договор</w:t>
      </w:r>
    </w:p>
    <w:p>
      <w:pPr>
        <w:sectPr>
          <w:type w:val="nextPage"/>
          <w:pgSz w:w="11906" w:h="16838"/>
          <w:pgMar w:left="1134" w:right="1134" w:header="0" w:top="1134" w:footer="0" w:bottom="1134" w:gutter="0"/>
          <w:pgNumType w:fmt="decimal"/>
          <w:formProt w:val="false"/>
          <w:textDirection w:val="lrTb"/>
        </w:sectPr>
      </w:pPr>
    </w:p>
    <w:p>
      <w:pPr>
        <w:pStyle w:val="TextBody"/>
        <w:spacing w:lineRule="atLeast" w:line="255"/>
        <w:jc w:val="both"/>
        <w:rPr/>
      </w:pPr>
      <w:r>
        <w:rPr>
          <w:b w:val="false"/>
          <w:color w:val="000000"/>
        </w:rPr>
        <w:t>(в ред. Федерального </w:t>
      </w:r>
      <w:r>
        <w:fldChar w:fldCharType="begin"/>
      </w:r>
      <w:r>
        <w:instrText> HYPERLINK "http://www.consultant.ru/document/cons_doc_LAW_61266/3d0cac60971a511280cbba229d9b6329c07731f7/" \l "dst100351"</w:instrText>
      </w:r>
      <w:r>
        <w:fldChar w:fldCharType="separate"/>
      </w:r>
      <w:r>
        <w:rPr>
          <w:rStyle w:val="InternetLink"/>
          <w:b w:val="false"/>
          <w:strike w:val="false"/>
          <w:dstrike w:val="false"/>
          <w:color w:val="666699"/>
          <w:u w:val="none"/>
          <w:effect w:val="none"/>
        </w:rPr>
        <w:t>закона</w:t>
      </w:r>
      <w:r>
        <w:fldChar w:fldCharType="end"/>
      </w:r>
      <w:r>
        <w:rPr>
          <w:b w:val="false"/>
          <w:color w:val="000000"/>
        </w:rPr>
        <w:t> от 30.06.2006 N 90-ФЗ)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360"/>
        <w:jc w:val="center"/>
        <w:rPr/>
      </w:pPr>
      <w:r>
        <w:rPr>
          <w:b w:val="false"/>
        </w:rPr>
        <w:t>(см. текст в предыдущей </w:t>
      </w:r>
      <w:bookmarkStart w:id="0" w:name="r"/>
      <w:bookmarkEnd w:id="0"/>
      <w:r>
        <w:rPr>
          <w:rStyle w:val="Q"/>
          <w:b w:val="false"/>
          <w:strike w:val="false"/>
          <w:dstrike w:val="false"/>
          <w:color w:val="666699"/>
          <w:u w:val="none"/>
          <w:effect w:val="none"/>
        </w:rPr>
        <w:t>редакции)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tbl>
      <w:tblPr>
        <w:tblW w:w="9638" w:type="dxa"/>
        <w:jc w:val="left"/>
        <w:tblInd w:w="28" w:type="dxa"/>
        <w:tblBorders/>
        <w:tblCellMar>
          <w:top w:w="28" w:type="dxa"/>
          <w:left w:w="28" w:type="dxa"/>
          <w:bottom w:w="28" w:type="dxa"/>
          <w:right w:w="28" w:type="dxa"/>
        </w:tblCellMar>
      </w:tblPr>
      <w:tblGrid>
        <w:gridCol w:w="124"/>
        <w:gridCol w:w="9514"/>
      </w:tblGrid>
      <w:tr>
        <w:trPr/>
        <w:tc>
          <w:tcPr>
            <w:tcW w:w="124" w:type="dxa"/>
            <w:tcBorders/>
            <w:shd w:fill="auto" w:val="clear"/>
            <w:vAlign w:val="center"/>
          </w:tcPr>
          <w:p>
            <w:pPr>
              <w:pStyle w:val="TableContents"/>
              <w:jc w:val="center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  <w:p/>
        </w:tc>
        <w:tc>
          <w:tcPr>
            <w:tcW w:w="9514" w:type="dxa"/>
            <w:tcBorders/>
            <w:shd w:fill="auto"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ableContents"/>
              <w:jc w:val="both"/>
              <w:rPr>
                <w:b w:val="false"/>
              </w:rPr>
            </w:pPr>
            <w:r>
              <w:rPr>
                <w:b w:val="false"/>
              </w:rPr>
              <w:t>Путеводители по кадровым вопросам и трудовым спорам. Вопросы применения ст. 59 ТК РФ</w:t>
            </w:r>
          </w:p>
          <w:p/>
        </w:tc>
      </w:tr>
    </w:tbl>
    <w:p>
      <w:pPr>
        <w:sectPr>
          <w:type w:val="continuous"/>
          <w:pgSz w:w="11906" w:h="16838"/>
          <w:pgMar w:left="1134" w:right="1134" w:header="0" w:top="1134" w:footer="0" w:bottom="1134" w:gutter="0"/>
          <w:pgNumType w:fmt="decimal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caps w:val="false"/>
          <w:smallCaps w:val="false"/>
          <w:color w:val="000000"/>
          <w:spacing w:val="0"/>
        </w:rPr>
      </w:pPr>
      <w:r>
        <w:rPr>
          <w:caps w:val="false"/>
          <w:smallCaps w:val="false"/>
          <w:color w:val="000000"/>
          <w:spacing w:val="0"/>
        </w:rPr>
        <w:t> 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рочный трудовой договор заключается:</w:t>
      </w:r>
      <w: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1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на время исполнения обязанностей отсутствующего работника, за которым в соответствии с трудовым </w:t>
      </w:r>
      <w:bookmarkStart w:id="1" w:name="multiref"/>
      <w:bookmarkEnd w:id="1"/>
      <w:r>
        <w:rPr>
          <w:rStyle w:val="Q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законодательством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 сохраняется место работы;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на время выполнения временных (до двух месяцев) работ;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для выполнения </w:t>
      </w:r>
      <w:r>
        <w:fldChar w:fldCharType="begin"/>
      </w:r>
      <w:r>
        <w:instrText> HYPERLINK "http://www.consultant.ru/document/cons_doc_LAW_34683/66167366e75c9c27b0549e3a2d9ed00c123a4dbc/" \l "dst1102"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сезонных работ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, когда в силу природных условий работа может производиться только в течение определенного периода (сезона);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 лицами, направляемыми на работу за границу;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для проведения работ, выходящих за рамки обычной деятельности работодателя (реконструкция, монтажные, пусконаладочные и другие работы), а также работ, связанных с заведомо временным (до одного года) расширением производства или объема оказываемых услуг;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лицами, поступающими на работу в организации, созданные на заведомо определенный период или для выполнения заведомо определенной работы;</w:t>
      </w: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2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лицами, принимаемыми для выполнения заведомо определенной работы в случаях, когда ее завершение не может быть определено конкретной датой;</w:t>
      </w: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3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для выполнения работ, непосредственно связанных с практикой, профессиональным обучением или дополнительным профессиональным образованием в форме стажировки;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255"/>
        <w:jc w:val="both"/>
        <w:rPr/>
      </w:pPr>
      <w:r>
        <w:rPr>
          <w:b w:val="false"/>
          <w:color w:val="000000"/>
        </w:rPr>
        <w:t>(в ред. Федерального </w:t>
      </w:r>
      <w:r>
        <w:fldChar w:fldCharType="begin"/>
      </w:r>
      <w:r>
        <w:instrText> HYPERLINK "http://www.consultant.ru/document/cons_doc_LAW_148576/235d5482c75720470efbc17daf32eec0cf2e3174/" \l "dst101314"</w:instrText>
      </w:r>
      <w:r>
        <w:fldChar w:fldCharType="separate"/>
      </w:r>
      <w:r>
        <w:rPr>
          <w:rStyle w:val="InternetLink"/>
          <w:b w:val="false"/>
          <w:strike w:val="false"/>
          <w:dstrike w:val="false"/>
          <w:color w:val="666699"/>
          <w:u w:val="none"/>
          <w:effect w:val="none"/>
        </w:rPr>
        <w:t>закона</w:t>
      </w:r>
      <w:r>
        <w:fldChar w:fldCharType="end"/>
      </w:r>
      <w:r>
        <w:rPr>
          <w:b w:val="false"/>
          <w:color w:val="000000"/>
        </w:rPr>
        <w:t> от 02.07.2013 N 185-ФЗ)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360"/>
        <w:jc w:val="right"/>
        <w:rPr/>
      </w:pPr>
      <w:r>
        <w:rPr>
          <w:b w:val="false"/>
        </w:rPr>
        <w:t>(см. текст в предыдущей </w:t>
      </w:r>
      <w:bookmarkStart w:id="2" w:name="r1"/>
      <w:bookmarkEnd w:id="2"/>
      <w:r>
        <w:rPr>
          <w:rStyle w:val="Q"/>
          <w:b w:val="false"/>
          <w:strike w:val="false"/>
          <w:dstrike w:val="false"/>
          <w:color w:val="666699"/>
          <w:u w:val="none"/>
          <w:effect w:val="none"/>
        </w:rPr>
        <w:t>редакции</w:t>
      </w:r>
      <w:r>
        <w:rPr>
          <w:b w:val="false"/>
        </w:rPr>
        <w:t>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в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случаях избрания на определенный </w:t>
      </w:r>
      <w:bookmarkStart w:id="3" w:name="multiref1"/>
      <w:bookmarkEnd w:id="3"/>
      <w:r>
        <w:rPr>
          <w:rStyle w:val="Q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срок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в состав выборного органа или на выборную должность на оплачиваемую работу, а также поступления на работу, связанную с непосредственным обеспечением деятельности членов избираемых органов или должностных лиц в органах государственной власти и органах местного самоуправления, в политических партиях и других общественных объединениях;</w:t>
      </w: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4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лицами, направленными органами службы занятости населения на работы временного характера и </w:t>
      </w:r>
      <w:r>
        <w:fldChar w:fldCharType="begin"/>
      </w:r>
      <w:r>
        <w:instrText> HYPERLINK "http://www.consultant.ru/document/cons_doc_LAW_60/39e215b9a33f819221264e4c1acc14f57d08c610/" \l "dst100172"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общественные работы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;</w:t>
      </w:r>
      <w:r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5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гражданами, направленными для прохождения </w:t>
      </w:r>
      <w:r>
        <w:fldChar w:fldCharType="begin"/>
      </w:r>
      <w:r>
        <w:instrText> HYPERLINK "http://www.consultant.ru/document/cons_doc_LAW_37866/f4cc41d2893fe6ead84452c23d414752fb119bbe/" \l "dst100136"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альтернативной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гражданской службы;</w:t>
      </w:r>
      <w:r>
        <mc:AlternateContent>
          <mc:Choice Requires="wps">
            <w:drawing>
              <wp:anchor behindDoc="0" distT="0" distB="0" distL="0" distR="0" simplePos="0" locked="0" layoutInCell="1" allowOverlap="1" relativeHeight="7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6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в других случаях, предусмотренных настоящим </w:t>
      </w:r>
      <w:bookmarkStart w:id="4" w:name="multiref3"/>
      <w:bookmarkEnd w:id="4"/>
      <w:r>
        <w:rPr>
          <w:rStyle w:val="Q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Кодексом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или иными федеральными </w:t>
      </w:r>
      <w:bookmarkStart w:id="5" w:name="multiref2"/>
      <w:bookmarkEnd w:id="5"/>
      <w:r>
        <w:rPr>
          <w:rStyle w:val="Q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законами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П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о соглашению сторон срочный трудовой договор может заключаться:</w:t>
      </w:r>
      <w: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7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 лицами, поступающими на работу к работодателям - субъектам малого предпринимательства (включая индивидуальных предпринимателей), численность работников которых не превышает 35 человек (в сфере розничной торговли и бытового обслуживания - 20 человек);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поступающими на работу пенсионерами по возрасту, а также с лицами, которым по состоянию здоровья в соответствии с медицинским заключением, выданным в </w:t>
      </w:r>
      <w:r>
        <w:fldChar w:fldCharType="begin"/>
      </w:r>
      <w:r>
        <w:instrText> HYPERLINK "http://www.consultant.ru/document/cons_doc_LAW_130508/" \l "dst100009"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порядке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, установленном федеральными законами и иными нормативными правовыми актами Российской Федерации, разрешена работа исключительно временного характера;</w:t>
      </w:r>
      <w:r>
        <mc:AlternateContent>
          <mc:Choice Requires="wps">
            <w:drawing>
              <wp:anchor behindDoc="0" distT="0" distB="0" distL="0" distR="0" simplePos="0" locked="0" layoutInCell="1" allowOverlap="1" relativeHeight="9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8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 лицами, поступающими на работу в организации, расположенные в </w:t>
      </w:r>
      <w:r>
        <w:fldChar w:fldCharType="begin"/>
      </w:r>
      <w:r>
        <w:instrText> HYPERLINK "http://www.consultant.ru/document/cons_doc_LAW_403/6b62003cddbf7056e4456256deb5643fe7358625/" \l "dst100007"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районах Крайнего Севера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и приравненных к ним местностях, если это связано с переездом к месту работы;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д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ля проведения неотложных работ по предотвращению катастроф, аварий, несчастных случаев, эпидемий, эпизоотий, а также для устранения последствий указанных и других чрезвычайных обстоятельств;</w:t>
      </w:r>
      <w:r>
        <mc:AlternateContent>
          <mc:Choice Requires="wps">
            <w:drawing>
              <wp:anchor behindDoc="0" distT="0" distB="0" distL="0" distR="0" simplePos="0" locked="0" layoutInCell="1" allowOverlap="1" relativeHeight="10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9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лицами, избранными по конкурсу на замещение соответствующей должности, проведенному в порядке, установленном трудовым </w:t>
      </w:r>
      <w:bookmarkStart w:id="6" w:name="multiref4"/>
      <w:bookmarkEnd w:id="6"/>
      <w:r>
        <w:rPr>
          <w:rStyle w:val="Q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законодательством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и иными нормативными правовыми актами, содержащими нормы трудового права;</w:t>
      </w:r>
      <w:r>
        <mc:AlternateContent>
          <mc:Choice Requires="wps">
            <w:drawing>
              <wp:anchor behindDoc="0" distT="0" distB="0" distL="0" distR="0" simplePos="0" locked="0" layoutInCell="1" allowOverlap="1" relativeHeight="11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10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творческими работниками средств массовой информации, организаций кинематографии, театров, театральных и концертных организаций, цирков и иными лицами, участвующими в создании и (или) исполнении (экспонировании) произведений, в соответствии с </w:t>
      </w:r>
      <w:r>
        <w:fldChar w:fldCharType="begin"/>
      </w:r>
      <w:r>
        <w:instrText> HYPERLINK "http://www.consultant.ru/document/cons_doc_LAW_68004/" \l "dst100008"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перечнями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 работ, профессий, должностей этих работников, утверждаемыми Правительством Российской Федерации с учетом мнения Российской трехсторонней комиссии по регулированию социально-трудовых отношений;</w:t>
      </w:r>
      <w:r>
        <mc:AlternateContent>
          <mc:Choice Requires="wps">
            <w:drawing>
              <wp:anchor behindDoc="0" distT="0" distB="0" distL="0" distR="0" simplePos="0" locked="0" layoutInCell="1" allowOverlap="1" relativeHeight="12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11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255"/>
        <w:jc w:val="both"/>
        <w:rPr/>
      </w:pPr>
      <w:r>
        <w:rPr>
          <w:b w:val="false"/>
          <w:color w:val="000000"/>
        </w:rPr>
        <w:t>(в ред. Федерального </w:t>
      </w:r>
      <w:r>
        <w:fldChar w:fldCharType="begin"/>
      </w:r>
      <w:r>
        <w:instrText> HYPERLINK "http://www.consultant.ru/document/cons_doc_LAW_75176/3d0cac60971a511280cbba229d9b6329c07731f7/" \l "dst100011"</w:instrText>
      </w:r>
      <w:r>
        <w:fldChar w:fldCharType="separate"/>
      </w:r>
      <w:r>
        <w:rPr>
          <w:rStyle w:val="InternetLink"/>
          <w:b w:val="false"/>
          <w:strike w:val="false"/>
          <w:dstrike w:val="false"/>
          <w:color w:val="666699"/>
          <w:u w:val="none"/>
          <w:effect w:val="none"/>
        </w:rPr>
        <w:t>закона</w:t>
      </w:r>
      <w:r>
        <w:fldChar w:fldCharType="end"/>
      </w:r>
      <w:r>
        <w:rPr>
          <w:b w:val="false"/>
          <w:color w:val="000000"/>
        </w:rPr>
        <w:t> от 28.02.2008 N 13-ФЗ)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360"/>
        <w:jc w:val="right"/>
        <w:rPr/>
      </w:pPr>
      <w:r>
        <w:rPr>
          <w:b w:val="false"/>
        </w:rPr>
        <w:t>(см. текст в предыдущей </w:t>
      </w:r>
      <w:bookmarkStart w:id="7" w:name="r2"/>
      <w:bookmarkEnd w:id="7"/>
      <w:r>
        <w:rPr>
          <w:rStyle w:val="Q"/>
          <w:b w:val="false"/>
          <w:strike w:val="false"/>
          <w:dstrike w:val="false"/>
          <w:color w:val="666699"/>
          <w:u w:val="none"/>
          <w:effect w:val="none"/>
        </w:rPr>
        <w:t>редакции</w:t>
      </w:r>
      <w:r>
        <w:rPr>
          <w:b w:val="false"/>
        </w:rPr>
        <w:t>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</w:t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 xml:space="preserve"> руководителями, заместителями руководителей и главными бухгалтерами организаций, независимо от их организационно-правовых форм и форм собственности;</w:t>
      </w:r>
      <w:r>
        <mc:AlternateContent>
          <mc:Choice Requires="wps">
            <w:drawing>
              <wp:anchor behindDoc="0" distT="0" distB="0" distL="0" distR="0" simplePos="0" locked="0" layoutInCell="1" allowOverlap="1" relativeHeight="13">
                <wp:simplePos x="0" y="0"/>
                <wp:positionH relativeFrom="page">
                  <wp:posOffset>0</wp:posOffset>
                </wp:positionH>
                <wp:positionV relativeFrom="line">
                  <wp:posOffset>635</wp:posOffset>
                </wp:positionV>
                <wp:extent cx="152400" cy="175260"/>
                <wp:effectExtent l="0" t="0" r="0" b="0"/>
                <wp:wrapNone/>
                <wp:docPr id="12" name="bkimg_f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" cy="1752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TextBody"/>
                              <w:spacing w:lineRule="auto" w:line="288" w:before="0" w:after="14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pt;height:13.8pt;mso-wrap-distance-left:0pt;mso-wrap-distance-right:0pt;mso-wrap-distance-top:0pt;mso-wrap-distance-bottom:0pt;margin-top:0pt;mso-position-vertical:top;mso-position-vertical-relative:text;margin-left:0pt;mso-position-horizontal-relative:page">
                <v:textbox inset="0in,0in,0in,0in">
                  <w:txbxContent>
                    <w:p>
                      <w:pPr>
                        <w:pStyle w:val="TextBody"/>
                        <w:spacing w:lineRule="auto" w:line="288" w:before="0" w:after="14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 лицами, получающими образование по очной форме обучения;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255"/>
        <w:jc w:val="both"/>
        <w:rPr/>
      </w:pPr>
      <w:r>
        <w:rPr>
          <w:b w:val="false"/>
          <w:color w:val="000000"/>
        </w:rPr>
        <w:t>(в ред. Федерального </w:t>
      </w:r>
      <w:r>
        <w:fldChar w:fldCharType="begin"/>
      </w:r>
      <w:r>
        <w:instrText> HYPERLINK "http://www.consultant.ru/document/cons_doc_LAW_148576/235d5482c75720470efbc17daf32eec0cf2e3174/" \l "dst101315"</w:instrText>
      </w:r>
      <w:r>
        <w:fldChar w:fldCharType="separate"/>
      </w:r>
      <w:r>
        <w:rPr>
          <w:rStyle w:val="InternetLink"/>
          <w:b w:val="false"/>
          <w:strike w:val="false"/>
          <w:dstrike w:val="false"/>
          <w:color w:val="666699"/>
          <w:u w:val="none"/>
          <w:effect w:val="none"/>
        </w:rPr>
        <w:t>закона</w:t>
      </w:r>
      <w:r>
        <w:fldChar w:fldCharType="end"/>
      </w:r>
      <w:r>
        <w:rPr>
          <w:b w:val="false"/>
          <w:color w:val="000000"/>
        </w:rPr>
        <w:t> от 02.07.2013 N 185-ФЗ)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360"/>
        <w:jc w:val="right"/>
        <w:rPr/>
      </w:pPr>
      <w:r>
        <w:rPr>
          <w:b w:val="false"/>
        </w:rPr>
        <w:t>(см. текст в предыдущей </w:t>
      </w:r>
      <w:bookmarkStart w:id="8" w:name="r3"/>
      <w:bookmarkEnd w:id="8"/>
      <w:r>
        <w:rPr>
          <w:rStyle w:val="Q"/>
          <w:b w:val="false"/>
          <w:strike w:val="false"/>
          <w:dstrike w:val="false"/>
          <w:color w:val="666699"/>
          <w:u w:val="none"/>
          <w:effect w:val="none"/>
        </w:rPr>
        <w:t>редакции</w:t>
      </w:r>
      <w:r>
        <w:rPr>
          <w:b w:val="false"/>
        </w:rPr>
        <w:t>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 членами экипажей морских судов, судов внутреннего плавания и судов смешанного (река - море) плавания, зарегистрированных в Российском международном реестре судов;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tLeast" w:line="255"/>
        <w:jc w:val="both"/>
        <w:rPr/>
      </w:pPr>
      <w:r>
        <w:rPr>
          <w:b w:val="false"/>
          <w:color w:val="000000"/>
        </w:rPr>
        <w:t>(абзац введен Федеральным </w:t>
      </w:r>
      <w:r>
        <w:fldChar w:fldCharType="begin"/>
      </w:r>
      <w:r>
        <w:instrText> HYPERLINK "http://www.consultant.ru/document/cons_doc_LAW_121269/46b4b351a6eb6bf3c553d41eb663011c2cb38810/" \l "dst100114"</w:instrText>
      </w:r>
      <w:r>
        <w:fldChar w:fldCharType="separate"/>
      </w:r>
      <w:r>
        <w:rPr>
          <w:rStyle w:val="InternetLink"/>
          <w:b w:val="false"/>
          <w:strike w:val="false"/>
          <w:dstrike w:val="false"/>
          <w:color w:val="666699"/>
          <w:u w:val="none"/>
          <w:effect w:val="none"/>
        </w:rPr>
        <w:t>законом</w:t>
      </w:r>
      <w:r>
        <w:fldChar w:fldCharType="end"/>
      </w:r>
      <w:r>
        <w:rPr>
          <w:b w:val="false"/>
          <w:color w:val="000000"/>
        </w:rPr>
        <w:t> от 07.11.2011 N 305-ФЗ)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с лицами, поступающими на работу по совместительству;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jc w:val="both"/>
        <w:rPr/>
      </w:pP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в других случаях, предусмотренных настоящим Кодексом или иными федеральными </w:t>
      </w:r>
      <w:r>
        <w:fldChar w:fldCharType="begin"/>
      </w:r>
      <w:r>
        <w:instrText> HYPERLINK "http://www.consultant.ru/document/cons_doc_LAW_60/7d7fb6646d7220b6edc9a3c55968f73d3c598f21/" \l "dst447"</w:instrText>
      </w:r>
      <w:r>
        <w:fldChar w:fldCharType="separate"/>
      </w:r>
      <w:r>
        <w:rPr>
          <w:rStyle w:val="InternetLink"/>
          <w:rFonts w:ascii="Arial;Tahoma;Verdana;Helvetica;sans-serif" w:hAnsi="Arial;Tahoma;Verdana;Helvetica;sans-serif"/>
          <w:b w:val="false"/>
          <w:i w:val="false"/>
          <w:caps w:val="false"/>
          <w:smallCaps w:val="false"/>
          <w:strike w:val="false"/>
          <w:dstrike w:val="false"/>
          <w:color w:val="666699"/>
          <w:spacing w:val="0"/>
          <w:sz w:val="24"/>
          <w:u w:val="none"/>
          <w:effect w:val="none"/>
        </w:rPr>
        <w:t>законами</w:t>
      </w:r>
      <w:r>
        <w:fldChar w:fldCharType="end"/>
      </w:r>
      <w:r>
        <w:rPr>
          <w:rFonts w:ascii="Arial;Tahoma;Verdana;Helvetica;sans-serif" w:hAnsi="Arial;Tahoma;Verdana;Helvetica;sans-serif"/>
          <w:b w:val="false"/>
          <w:i w:val="false"/>
          <w:caps w:val="false"/>
          <w:smallCaps w:val="false"/>
          <w:color w:val="000000"/>
          <w:spacing w:val="0"/>
          <w:sz w:val="24"/>
        </w:rPr>
        <w:t>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widowControl/>
        <w:spacing w:lineRule="atLeast" w:line="285"/>
        <w:ind w:left="0" w:right="0" w:hanging="0"/>
        <w:jc w:val="both"/>
        <w:rPr>
          <w:caps w:val="false"/>
          <w:smallCaps w:val="false"/>
          <w:color w:val="000000"/>
          <w:spacing w:val="0"/>
        </w:rPr>
      </w:pPr>
      <w:r>
        <w:rPr>
          <w:caps w:val="false"/>
          <w:smallCaps w:val="false"/>
          <w:color w:val="000000"/>
          <w:spacing w:val="0"/>
        </w:rPr>
        <w:t> 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PreformattedText"/>
        <w:rPr/>
      </w:pPr>
      <w:r>
        <w:rPr/>
      </w:r>
    </w:p>
    <w:sectPr>
      <w:type w:val="continuous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Mono">
    <w:altName w:val="Courier New"/>
    <w:charset w:val="01"/>
    <w:family w:val="modern"/>
    <w:pitch w:val="fixed"/>
  </w:font>
  <w:font w:name="Arial">
    <w:altName w:val="Tahoma"/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4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Liberation Serif" w:hAnsi="Liberation Serif" w:eastAsia="WenQuanYi Micro Hei" w:cs="Lohit Devanagari"/>
      <w:color w:val="auto"/>
      <w:sz w:val="24"/>
      <w:szCs w:val="24"/>
      <w:lang w:val="ru-RU" w:eastAsia="zh-CN" w:bidi="hi-IN"/>
    </w:rPr>
  </w:style>
  <w:style w:type="paragraph" w:styleId="Heading1">
    <w:name w:val="Heading 1"/>
    <w:basedOn w:val="Heading"/>
    <w:next w:val="TextBody"/>
    <w:qFormat/>
    <w:pPr>
      <w:spacing w:before="240" w:after="120"/>
      <w:outlineLvl w:val="0"/>
      <w:outlineLvl w:val="0"/>
    </w:pPr>
    <w:rPr>
      <w:rFonts w:ascii="Liberation Serif" w:hAnsi="Liberation Serif" w:eastAsia="WenQuanYi Micro Hei" w:cs="Lohit Devanagari"/>
      <w:b/>
      <w:bCs/>
      <w:sz w:val="48"/>
      <w:szCs w:val="48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Q">
    <w:name w:val="q"/>
    <w:qFormat/>
    <w:rPr/>
  </w:style>
  <w:style w:type="character" w:styleId="Ins">
    <w:name w:val="ins"/>
    <w:qFormat/>
    <w:rPr/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Nimbus Mono L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LibreOffice/5.1.4.2$Linux_X86_64 LibreOffice_project/10m0$Build-2</Application>
  <Pages>3</Pages>
  <Words>572</Words>
  <Characters>4041</Characters>
  <CharactersWithSpaces>4579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2017-09-28T14:31:09Z</dcterms:modified>
  <cp:revision>1</cp:revision>
  <dc:subject/>
  <dc:title/>
</cp:coreProperties>
</file>